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1D" w:rsidRPr="00B21C1D" w:rsidRDefault="00B21C1D" w:rsidP="00B21C1D">
      <w:pPr>
        <w:pStyle w:val="Paragraphestandard"/>
        <w:jc w:val="both"/>
        <w:rPr>
          <w:rFonts w:cs="Minion Pro Cond"/>
          <w:b/>
          <w:bCs/>
          <w:sz w:val="28"/>
          <w:szCs w:val="22"/>
        </w:rPr>
      </w:pPr>
      <w:bookmarkStart w:id="0" w:name="_GoBack"/>
      <w:bookmarkEnd w:id="0"/>
      <w:r w:rsidRPr="00B21C1D">
        <w:rPr>
          <w:rFonts w:cs="Minion Pro Cond"/>
          <w:b/>
          <w:bCs/>
          <w:sz w:val="28"/>
          <w:szCs w:val="22"/>
        </w:rPr>
        <w:t>Le Centre Verviétois de Promotion de la santé ASBL (CVPS) fête ses 20 ans !</w:t>
      </w:r>
    </w:p>
    <w:p w:rsidR="00B21C1D" w:rsidRPr="00B21C1D" w:rsidRDefault="00B21C1D" w:rsidP="00B21C1D">
      <w:pPr>
        <w:pStyle w:val="Paragraphestandard"/>
        <w:rPr>
          <w:sz w:val="22"/>
          <w:szCs w:val="22"/>
        </w:rPr>
      </w:pPr>
    </w:p>
    <w:p w:rsidR="00B21C1D" w:rsidRPr="00B21C1D" w:rsidRDefault="00B21C1D" w:rsidP="00B21C1D">
      <w:pPr>
        <w:pStyle w:val="Paragraphestandard"/>
        <w:spacing w:before="340"/>
        <w:rPr>
          <w:sz w:val="22"/>
          <w:szCs w:val="22"/>
        </w:rPr>
      </w:pPr>
      <w:r w:rsidRPr="00B21C1D">
        <w:rPr>
          <w:sz w:val="22"/>
          <w:szCs w:val="22"/>
        </w:rPr>
        <w:t>En 2018, cela fera 20 ans que le Centre Verviétois de Promotion de la santé (CVPS) existe. Subsidié et agréé par la Région Wallonne, avec le soutien de la Province de Liège et de la Ville de Verviers, il est l’un des 9 Centres Locaux de Promotion de la Santé en Région Wallonne</w:t>
      </w:r>
      <w:r>
        <w:rPr>
          <w:sz w:val="22"/>
          <w:szCs w:val="22"/>
        </w:rPr>
        <w:t xml:space="preserve"> (</w:t>
      </w:r>
      <w:r w:rsidRPr="00B21C1D">
        <w:rPr>
          <w:sz w:val="22"/>
          <w:szCs w:val="22"/>
        </w:rPr>
        <w:t>www.lesclps.be</w:t>
      </w:r>
      <w:r>
        <w:rPr>
          <w:sz w:val="22"/>
          <w:szCs w:val="22"/>
        </w:rPr>
        <w:t>)</w:t>
      </w:r>
      <w:r w:rsidRPr="00B21C1D">
        <w:rPr>
          <w:sz w:val="22"/>
          <w:szCs w:val="22"/>
        </w:rPr>
        <w:t>.</w:t>
      </w:r>
    </w:p>
    <w:p w:rsidR="00B21C1D" w:rsidRPr="00B21C1D" w:rsidRDefault="00B21C1D" w:rsidP="00B21C1D">
      <w:pPr>
        <w:pStyle w:val="Paragraphestandard"/>
        <w:spacing w:before="283"/>
        <w:rPr>
          <w:sz w:val="22"/>
          <w:szCs w:val="22"/>
        </w:rPr>
      </w:pPr>
      <w:r w:rsidRPr="00B21C1D">
        <w:rPr>
          <w:sz w:val="22"/>
          <w:szCs w:val="22"/>
        </w:rPr>
        <w:t xml:space="preserve">Pour célébrer cet évènement, le CVPS organise </w:t>
      </w:r>
      <w:r w:rsidRPr="00B21C1D">
        <w:rPr>
          <w:rFonts w:cs="Minion Pro Cond"/>
          <w:b/>
          <w:bCs/>
          <w:sz w:val="22"/>
          <w:szCs w:val="22"/>
        </w:rPr>
        <w:t>le 20 septembre 2018</w:t>
      </w:r>
      <w:r w:rsidRPr="00B21C1D">
        <w:rPr>
          <w:sz w:val="22"/>
          <w:szCs w:val="22"/>
        </w:rPr>
        <w:t xml:space="preserve"> une conférence/débat intitulée : </w:t>
      </w:r>
    </w:p>
    <w:p w:rsidR="00B21C1D" w:rsidRPr="00B21C1D" w:rsidRDefault="00B21C1D" w:rsidP="00B21C1D">
      <w:pPr>
        <w:pStyle w:val="Paragraphestandard"/>
        <w:spacing w:before="227"/>
        <w:jc w:val="both"/>
        <w:rPr>
          <w:b/>
          <w:szCs w:val="22"/>
        </w:rPr>
      </w:pPr>
      <w:r w:rsidRPr="00B21C1D">
        <w:rPr>
          <w:rFonts w:cs="Minion Pro SmBd"/>
          <w:b/>
          <w:iCs/>
          <w:szCs w:val="22"/>
        </w:rPr>
        <w:t>« E-</w:t>
      </w:r>
      <w:proofErr w:type="spellStart"/>
      <w:r w:rsidRPr="00B21C1D">
        <w:rPr>
          <w:rFonts w:cs="Minion Pro SmBd"/>
          <w:b/>
          <w:iCs/>
          <w:szCs w:val="22"/>
        </w:rPr>
        <w:t>health</w:t>
      </w:r>
      <w:proofErr w:type="spellEnd"/>
      <w:r w:rsidRPr="00B21C1D">
        <w:rPr>
          <w:rFonts w:cs="Minion Pro SmBd"/>
          <w:b/>
          <w:iCs/>
          <w:szCs w:val="22"/>
        </w:rPr>
        <w:t xml:space="preserve"> et promotion de la santé : quels liens, quelles opportunités d’avenir ? »</w:t>
      </w:r>
    </w:p>
    <w:p w:rsidR="00B21C1D" w:rsidRPr="00B21C1D" w:rsidRDefault="00B21C1D" w:rsidP="00B21C1D">
      <w:pPr>
        <w:pStyle w:val="Paragraphestandard"/>
        <w:jc w:val="distribute"/>
        <w:rPr>
          <w:sz w:val="22"/>
          <w:szCs w:val="22"/>
        </w:rPr>
      </w:pPr>
    </w:p>
    <w:p w:rsidR="00B21C1D" w:rsidRPr="00B21C1D" w:rsidRDefault="00B21C1D" w:rsidP="00B21C1D">
      <w:pPr>
        <w:pStyle w:val="Paragraphestandard"/>
        <w:spacing w:before="113"/>
        <w:jc w:val="both"/>
        <w:rPr>
          <w:rFonts w:cs="Minion Pro Cond"/>
          <w:bCs/>
          <w:sz w:val="22"/>
          <w:szCs w:val="22"/>
          <w:u w:val="single"/>
        </w:rPr>
      </w:pPr>
      <w:r w:rsidRPr="00B21C1D">
        <w:rPr>
          <w:rFonts w:cs="Minion Pro Cond"/>
          <w:bCs/>
          <w:sz w:val="22"/>
          <w:szCs w:val="22"/>
          <w:u w:val="single"/>
        </w:rPr>
        <w:t>E-</w:t>
      </w:r>
      <w:proofErr w:type="spellStart"/>
      <w:r w:rsidRPr="00B21C1D">
        <w:rPr>
          <w:rFonts w:cs="Minion Pro Cond"/>
          <w:bCs/>
          <w:sz w:val="22"/>
          <w:szCs w:val="22"/>
          <w:u w:val="single"/>
        </w:rPr>
        <w:t>health</w:t>
      </w:r>
      <w:proofErr w:type="spellEnd"/>
      <w:r w:rsidRPr="00B21C1D">
        <w:rPr>
          <w:rFonts w:cs="Minion Pro Cond"/>
          <w:bCs/>
          <w:sz w:val="22"/>
          <w:szCs w:val="22"/>
          <w:u w:val="single"/>
        </w:rPr>
        <w:t xml:space="preserve"> et promotion de la santé : de quoi parle-t-on ?</w:t>
      </w:r>
    </w:p>
    <w:p w:rsidR="00B21C1D" w:rsidRPr="00B21C1D" w:rsidRDefault="00B21C1D" w:rsidP="00B21C1D">
      <w:pPr>
        <w:pStyle w:val="Paragraphestandard"/>
        <w:spacing w:before="113"/>
        <w:rPr>
          <w:sz w:val="22"/>
          <w:szCs w:val="22"/>
        </w:rPr>
      </w:pPr>
      <w:r w:rsidRPr="00B21C1D">
        <w:rPr>
          <w:sz w:val="22"/>
          <w:szCs w:val="22"/>
        </w:rPr>
        <w:t>L’e-</w:t>
      </w:r>
      <w:proofErr w:type="spellStart"/>
      <w:r w:rsidRPr="00B21C1D">
        <w:rPr>
          <w:sz w:val="22"/>
          <w:szCs w:val="22"/>
        </w:rPr>
        <w:t>health</w:t>
      </w:r>
      <w:proofErr w:type="spellEnd"/>
      <w:r w:rsidRPr="00B21C1D">
        <w:rPr>
          <w:sz w:val="22"/>
          <w:szCs w:val="22"/>
        </w:rPr>
        <w:t xml:space="preserve"> (ou e-santé) est l’ensemble des « Services et informations en matière de santé fournis ou améliorés via l’Internet et les technologies apparentées. » (</w:t>
      </w:r>
      <w:proofErr w:type="spellStart"/>
      <w:r w:rsidRPr="00B21C1D">
        <w:rPr>
          <w:sz w:val="22"/>
          <w:szCs w:val="22"/>
        </w:rPr>
        <w:t>Eysenbach</w:t>
      </w:r>
      <w:proofErr w:type="spellEnd"/>
      <w:r w:rsidRPr="00B21C1D">
        <w:rPr>
          <w:sz w:val="22"/>
          <w:szCs w:val="22"/>
        </w:rPr>
        <w:t>, 2001).</w:t>
      </w:r>
    </w:p>
    <w:p w:rsidR="00B21C1D" w:rsidRPr="00B21C1D" w:rsidRDefault="00B21C1D" w:rsidP="00B21C1D">
      <w:pPr>
        <w:pStyle w:val="Paragraphestandard"/>
        <w:rPr>
          <w:sz w:val="22"/>
          <w:szCs w:val="22"/>
        </w:rPr>
      </w:pPr>
    </w:p>
    <w:p w:rsidR="00B21C1D" w:rsidRPr="00B21C1D" w:rsidRDefault="00B21C1D" w:rsidP="00B21C1D">
      <w:pPr>
        <w:pStyle w:val="Paragraphestandard"/>
        <w:rPr>
          <w:sz w:val="22"/>
          <w:szCs w:val="22"/>
        </w:rPr>
      </w:pPr>
      <w:r w:rsidRPr="00B21C1D">
        <w:rPr>
          <w:sz w:val="22"/>
          <w:szCs w:val="22"/>
        </w:rPr>
        <w:t>En Belgique, le développement de l’e-</w:t>
      </w:r>
      <w:proofErr w:type="spellStart"/>
      <w:r w:rsidRPr="00B21C1D">
        <w:rPr>
          <w:sz w:val="22"/>
          <w:szCs w:val="22"/>
        </w:rPr>
        <w:t>health</w:t>
      </w:r>
      <w:proofErr w:type="spellEnd"/>
      <w:r w:rsidRPr="00B21C1D">
        <w:rPr>
          <w:sz w:val="22"/>
          <w:szCs w:val="22"/>
        </w:rPr>
        <w:t xml:space="preserve"> est censé mettre le patient au centre de la démarche médicale et, notamment, contribuer à améliorer/développer sa compétence de littératie en santé </w:t>
      </w:r>
      <w:r w:rsidRPr="00B21C1D">
        <w:rPr>
          <w:sz w:val="22"/>
          <w:szCs w:val="22"/>
        </w:rPr>
        <w:br/>
        <w:t>(cf. « Le paysage de l’e-Santé en 2019 » www.plan-esante.be).</w:t>
      </w:r>
    </w:p>
    <w:p w:rsidR="00B21C1D" w:rsidRPr="00B21C1D" w:rsidRDefault="00B21C1D" w:rsidP="00B21C1D">
      <w:pPr>
        <w:pStyle w:val="Paragraphestandard"/>
        <w:jc w:val="distribute"/>
        <w:rPr>
          <w:sz w:val="22"/>
          <w:szCs w:val="22"/>
        </w:rPr>
      </w:pPr>
    </w:p>
    <w:p w:rsidR="00B21C1D" w:rsidRPr="00B21C1D" w:rsidRDefault="00B21C1D" w:rsidP="00B21C1D">
      <w:pPr>
        <w:pStyle w:val="Paragraphestandard"/>
        <w:jc w:val="both"/>
        <w:rPr>
          <w:sz w:val="22"/>
          <w:szCs w:val="22"/>
        </w:rPr>
      </w:pPr>
      <w:r w:rsidRPr="00B21C1D">
        <w:rPr>
          <w:sz w:val="22"/>
          <w:szCs w:val="22"/>
        </w:rPr>
        <w:t>Le lien avec la promotion de la santé, dont l’objet est de rendre l’individu acteur de sa santé, est donc évident, notamment à travers les questions liées à l’empowerment.</w:t>
      </w:r>
    </w:p>
    <w:p w:rsidR="00B21C1D" w:rsidRPr="00B21C1D" w:rsidRDefault="00B21C1D" w:rsidP="00B21C1D">
      <w:pPr>
        <w:pStyle w:val="Paragraphestandard"/>
        <w:jc w:val="distribute"/>
        <w:rPr>
          <w:sz w:val="22"/>
          <w:szCs w:val="22"/>
        </w:rPr>
      </w:pPr>
    </w:p>
    <w:p w:rsidR="00B21C1D" w:rsidRPr="00B21C1D" w:rsidRDefault="00B21C1D" w:rsidP="00B21C1D">
      <w:pPr>
        <w:pStyle w:val="Paragraphestandard"/>
        <w:jc w:val="both"/>
        <w:rPr>
          <w:sz w:val="22"/>
          <w:szCs w:val="22"/>
          <w:u w:val="single"/>
        </w:rPr>
      </w:pPr>
      <w:r w:rsidRPr="00B21C1D">
        <w:rPr>
          <w:rFonts w:cs="Minion Pro Cond"/>
          <w:bCs/>
          <w:sz w:val="22"/>
          <w:szCs w:val="22"/>
          <w:u w:val="single"/>
        </w:rPr>
        <w:t>Opportunité ou menace ?</w:t>
      </w:r>
    </w:p>
    <w:p w:rsidR="00B21C1D" w:rsidRPr="00B21C1D" w:rsidRDefault="00B21C1D" w:rsidP="00B21C1D">
      <w:pPr>
        <w:pStyle w:val="Paragraphestandard"/>
        <w:jc w:val="distribute"/>
        <w:rPr>
          <w:sz w:val="22"/>
          <w:szCs w:val="22"/>
        </w:rPr>
      </w:pPr>
      <w:r w:rsidRPr="00B21C1D">
        <w:rPr>
          <w:sz w:val="22"/>
          <w:szCs w:val="22"/>
        </w:rPr>
        <w:t xml:space="preserve">Si l’accès aux informations et aux services de santé en ligne, demande un certain niveau préalable de </w:t>
      </w:r>
      <w:r w:rsidRPr="00B21C1D">
        <w:rPr>
          <w:sz w:val="22"/>
          <w:szCs w:val="22"/>
        </w:rPr>
        <w:br/>
        <w:t xml:space="preserve">littératie en santé : quid de l’accès des aînés et des publics précarisés, fragilisés ou en situation de handicap ? </w:t>
      </w:r>
    </w:p>
    <w:p w:rsidR="00B21C1D" w:rsidRPr="00B21C1D" w:rsidRDefault="00B21C1D" w:rsidP="00B21C1D">
      <w:pPr>
        <w:pStyle w:val="Paragraphestandard"/>
        <w:jc w:val="distribute"/>
        <w:rPr>
          <w:sz w:val="22"/>
          <w:szCs w:val="22"/>
        </w:rPr>
      </w:pPr>
    </w:p>
    <w:p w:rsidR="00B21C1D" w:rsidRPr="00B21C1D" w:rsidRDefault="00B21C1D" w:rsidP="00B21C1D">
      <w:pPr>
        <w:pStyle w:val="Paragraphestandard"/>
        <w:rPr>
          <w:sz w:val="22"/>
          <w:szCs w:val="22"/>
        </w:rPr>
      </w:pPr>
      <w:r w:rsidRPr="00B21C1D">
        <w:rPr>
          <w:sz w:val="22"/>
          <w:szCs w:val="22"/>
        </w:rPr>
        <w:t>Par ailleurs, s’il est nécessaire, l’accès seul à l’information de santé n’est pas suffisant en soi pour garantir une</w:t>
      </w:r>
      <w:r>
        <w:rPr>
          <w:sz w:val="22"/>
          <w:szCs w:val="22"/>
        </w:rPr>
        <w:t xml:space="preserve"> </w:t>
      </w:r>
      <w:r w:rsidRPr="00B21C1D">
        <w:rPr>
          <w:sz w:val="22"/>
          <w:szCs w:val="22"/>
        </w:rPr>
        <w:t xml:space="preserve">amélioration du niveau des compétences en santé. </w:t>
      </w:r>
    </w:p>
    <w:p w:rsidR="00B21C1D" w:rsidRPr="00B21C1D" w:rsidRDefault="00B21C1D" w:rsidP="00B21C1D">
      <w:pPr>
        <w:pStyle w:val="Paragraphestandard"/>
        <w:rPr>
          <w:sz w:val="22"/>
          <w:szCs w:val="22"/>
        </w:rPr>
      </w:pPr>
      <w:r w:rsidRPr="00B21C1D">
        <w:rPr>
          <w:sz w:val="22"/>
          <w:szCs w:val="22"/>
        </w:rPr>
        <w:t xml:space="preserve">Dès lors, que peut-on mettre en place en termes de projets de promotion de la santé pour y contribuer ?  </w:t>
      </w:r>
    </w:p>
    <w:p w:rsidR="00B21C1D" w:rsidRPr="00B21C1D" w:rsidRDefault="00B21C1D" w:rsidP="00B21C1D">
      <w:pPr>
        <w:pStyle w:val="Paragraphestandard"/>
        <w:rPr>
          <w:sz w:val="22"/>
          <w:szCs w:val="22"/>
        </w:rPr>
      </w:pPr>
      <w:r w:rsidRPr="00B21C1D">
        <w:rPr>
          <w:sz w:val="22"/>
          <w:szCs w:val="22"/>
        </w:rPr>
        <w:t>Et existe-t-il des projets de ce type à l’heure actuelle en Région Wallonne ?</w:t>
      </w:r>
    </w:p>
    <w:p w:rsidR="00B21C1D" w:rsidRPr="00B21C1D" w:rsidRDefault="00B21C1D" w:rsidP="00B21C1D">
      <w:pPr>
        <w:pStyle w:val="Paragraphestandard"/>
        <w:jc w:val="distribute"/>
        <w:rPr>
          <w:sz w:val="22"/>
          <w:szCs w:val="22"/>
        </w:rPr>
      </w:pPr>
    </w:p>
    <w:p w:rsidR="00B21C1D" w:rsidRDefault="00B21C1D" w:rsidP="00B21C1D">
      <w:pPr>
        <w:pStyle w:val="Paragraphestandard"/>
        <w:jc w:val="both"/>
        <w:rPr>
          <w:sz w:val="22"/>
          <w:szCs w:val="22"/>
        </w:rPr>
      </w:pPr>
      <w:r w:rsidRPr="00B21C1D">
        <w:rPr>
          <w:sz w:val="22"/>
          <w:szCs w:val="22"/>
        </w:rPr>
        <w:t>Autant de questions auxquelles nous tenterons d’apporter des éléments de réponse lors de notre soirée 20ème anniversaire le 20 septembre 2018.</w:t>
      </w:r>
    </w:p>
    <w:p w:rsidR="00B21C1D" w:rsidRPr="00B21C1D" w:rsidRDefault="00B21C1D" w:rsidP="00B21C1D">
      <w:pPr>
        <w:pStyle w:val="Paragraphestandard"/>
        <w:jc w:val="both"/>
        <w:rPr>
          <w:sz w:val="22"/>
          <w:szCs w:val="22"/>
        </w:rPr>
      </w:pPr>
    </w:p>
    <w:p w:rsidR="00C70A67" w:rsidRPr="00B21C1D" w:rsidRDefault="00C70A67">
      <w:pPr>
        <w:rPr>
          <w:rFonts w:ascii="Minion Pro" w:hAnsi="Minion Pro"/>
        </w:rPr>
      </w:pPr>
    </w:p>
    <w:p w:rsidR="00095BFC" w:rsidRDefault="00B21C1D">
      <w:pPr>
        <w:rPr>
          <w:rFonts w:ascii="Minion Pro" w:hAnsi="Minion Pro"/>
          <w:noProof/>
        </w:rPr>
      </w:pPr>
      <w:r>
        <w:rPr>
          <w:rFonts w:ascii="Minion Pro" w:hAnsi="Minion Pro"/>
          <w:noProof/>
          <w:lang w:eastAsia="fr-BE"/>
        </w:rPr>
        <w:drawing>
          <wp:inline distT="0" distB="0" distL="0" distR="0">
            <wp:extent cx="1067175"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vps anni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1071" cy="803021"/>
                    </a:xfrm>
                    <a:prstGeom prst="rect">
                      <a:avLst/>
                    </a:prstGeom>
                  </pic:spPr>
                </pic:pic>
              </a:graphicData>
            </a:graphic>
          </wp:inline>
        </w:drawing>
      </w:r>
      <w:r>
        <w:rPr>
          <w:rFonts w:ascii="Minion Pro" w:hAnsi="Minion Pro"/>
          <w:noProof/>
        </w:rPr>
        <w:t xml:space="preserve">                     </w:t>
      </w:r>
    </w:p>
    <w:p w:rsidR="00095BFC" w:rsidRDefault="00095BFC">
      <w:pPr>
        <w:rPr>
          <w:rFonts w:ascii="Minion Pro" w:hAnsi="Minion Pro"/>
          <w:noProof/>
        </w:rPr>
      </w:pPr>
    </w:p>
    <w:p w:rsidR="00095BFC" w:rsidRDefault="00095BFC">
      <w:pPr>
        <w:rPr>
          <w:rFonts w:ascii="Minion Pro" w:hAnsi="Minion Pro"/>
          <w:noProof/>
        </w:rPr>
      </w:pPr>
    </w:p>
    <w:p w:rsidR="00B21C1D" w:rsidRPr="00B21C1D" w:rsidRDefault="00B21C1D">
      <w:pPr>
        <w:rPr>
          <w:rFonts w:ascii="Minion Pro" w:hAnsi="Minion Pro"/>
        </w:rPr>
      </w:pPr>
      <w:r>
        <w:rPr>
          <w:rFonts w:ascii="Minion Pro" w:hAnsi="Minion Pro"/>
          <w:noProof/>
        </w:rPr>
        <w:t xml:space="preserve">                                  </w:t>
      </w:r>
      <w:r>
        <w:rPr>
          <w:rFonts w:ascii="Minion Pro" w:hAnsi="Minion Pro"/>
          <w:noProof/>
          <w:lang w:eastAsia="fr-BE"/>
        </w:rPr>
        <w:drawing>
          <wp:inline distT="0" distB="0" distL="0" distR="0">
            <wp:extent cx="1009650" cy="42110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VIQ.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4536" cy="431482"/>
                    </a:xfrm>
                    <a:prstGeom prst="rect">
                      <a:avLst/>
                    </a:prstGeom>
                  </pic:spPr>
                </pic:pic>
              </a:graphicData>
            </a:graphic>
          </wp:inline>
        </w:drawing>
      </w:r>
      <w:r>
        <w:rPr>
          <w:rFonts w:ascii="Minion Pro" w:hAnsi="Minion Pro"/>
          <w:noProof/>
        </w:rPr>
        <w:t xml:space="preserve">     </w:t>
      </w:r>
      <w:r>
        <w:rPr>
          <w:rFonts w:ascii="Minion Pro" w:hAnsi="Minion Pro"/>
          <w:noProof/>
          <w:lang w:eastAsia="fr-BE"/>
        </w:rPr>
        <w:drawing>
          <wp:inline distT="0" distB="0" distL="0" distR="0">
            <wp:extent cx="844175" cy="46662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ovinc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9456" cy="480603"/>
                    </a:xfrm>
                    <a:prstGeom prst="rect">
                      <a:avLst/>
                    </a:prstGeom>
                  </pic:spPr>
                </pic:pic>
              </a:graphicData>
            </a:graphic>
          </wp:inline>
        </w:drawing>
      </w:r>
      <w:r>
        <w:rPr>
          <w:rFonts w:ascii="Minion Pro" w:hAnsi="Minion Pro"/>
          <w:noProof/>
        </w:rPr>
        <w:t xml:space="preserve">   </w:t>
      </w:r>
      <w:r>
        <w:rPr>
          <w:rFonts w:ascii="Minion Pro" w:hAnsi="Minion Pro"/>
          <w:noProof/>
          <w:lang w:eastAsia="fr-BE"/>
        </w:rPr>
        <w:drawing>
          <wp:inline distT="0" distB="0" distL="0" distR="0">
            <wp:extent cx="572135" cy="5721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161" cy="572161"/>
                    </a:xfrm>
                    <a:prstGeom prst="rect">
                      <a:avLst/>
                    </a:prstGeom>
                  </pic:spPr>
                </pic:pic>
              </a:graphicData>
            </a:graphic>
          </wp:inline>
        </w:drawing>
      </w:r>
    </w:p>
    <w:sectPr w:rsidR="00B21C1D" w:rsidRPr="00B21C1D" w:rsidSect="00853E0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inion Pro Cond">
    <w:panose1 w:val="00000000000000000000"/>
    <w:charset w:val="00"/>
    <w:family w:val="roman"/>
    <w:notTrueType/>
    <w:pitch w:val="variable"/>
    <w:sig w:usb0="60000287"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1D"/>
    <w:rsid w:val="00095BFC"/>
    <w:rsid w:val="00B21C1D"/>
    <w:rsid w:val="00C70A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263BF-A8EE-4F51-81E1-D1C58FEE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B21C1D"/>
    <w:pPr>
      <w:autoSpaceDE w:val="0"/>
      <w:autoSpaceDN w:val="0"/>
      <w:adjustRightInd w:val="0"/>
      <w:spacing w:after="0" w:line="288" w:lineRule="auto"/>
      <w:textAlignment w:val="center"/>
    </w:pPr>
    <w:rPr>
      <w:rFonts w:ascii="Minion Pro" w:hAnsi="Minion Pro" w:cs="Minion Pro"/>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1727</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Sugero, Maria</cp:lastModifiedBy>
  <cp:revision>2</cp:revision>
  <dcterms:created xsi:type="dcterms:W3CDTF">2018-08-29T13:30:00Z</dcterms:created>
  <dcterms:modified xsi:type="dcterms:W3CDTF">2018-08-29T13:30:00Z</dcterms:modified>
</cp:coreProperties>
</file>